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104bis</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216476</w:t>
      </w:r>
      <w:bookmarkStart w:id="1" w:name="_GoBack"/>
      <w:bookmarkEnd w:id="1"/>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10 </w:t>
      </w:r>
      <w:r>
        <w:rPr>
          <w:rFonts w:ascii="Arial" w:hAnsi="Arial" w:cs="Arial"/>
          <w:b/>
          <w:bCs/>
          <w:sz w:val="24"/>
          <w:szCs w:val="24"/>
        </w:rPr>
        <w:t>–</w:t>
      </w:r>
      <w:r>
        <w:rPr>
          <w:rFonts w:hint="eastAsia" w:ascii="Arial" w:hAnsi="Arial" w:eastAsia="宋体" w:cs="Arial"/>
          <w:b/>
          <w:bCs/>
          <w:sz w:val="24"/>
          <w:szCs w:val="24"/>
          <w:lang w:val="en-US" w:eastAsia="zh-CN"/>
        </w:rPr>
        <w:t xml:space="preserve"> 19</w:t>
      </w:r>
      <w:r>
        <w:rPr>
          <w:rFonts w:ascii="Arial" w:hAnsi="Arial" w:cs="Arial"/>
          <w:b/>
          <w:bCs/>
          <w:sz w:val="24"/>
          <w:szCs w:val="24"/>
        </w:rPr>
        <w:t xml:space="preserve"> </w:t>
      </w:r>
      <w:r>
        <w:rPr>
          <w:rFonts w:hint="eastAsia" w:ascii="Arial" w:hAnsi="Arial" w:eastAsia="宋体" w:cs="Arial"/>
          <w:b/>
          <w:bCs/>
          <w:sz w:val="24"/>
          <w:szCs w:val="24"/>
          <w:lang w:val="en-US" w:eastAsia="zh-CN"/>
        </w:rPr>
        <w:t>Oct</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L3 part RRM core requirements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6.8.3.2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revised WID[1] for Rel-18 was approved </w:t>
      </w:r>
      <w:r>
        <w:rPr>
          <w:rFonts w:hint="eastAsia"/>
          <w:lang w:val="en-US" w:eastAsia="zh-CN"/>
        </w:rPr>
        <w:t xml:space="preserve">to identify the requirements to support the </w:t>
      </w:r>
      <w:r>
        <w:rPr>
          <w:lang w:val="en-US"/>
        </w:rPr>
        <w:t>enhanced FR2-1 UEs with simultaneous DL reception from different directions with different QCL TypeD RSs on a single component carrier</w:t>
      </w:r>
      <w:r>
        <w:rPr>
          <w:rFonts w:hint="eastAsia" w:eastAsia="宋体"/>
          <w:lang w:val="en-US" w:eastAsia="zh-CN"/>
        </w:rPr>
        <w:t>. Both RF requirements enhancement and RRM requirements enhancement are involved in the core part. The objective in the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spacing w:after="0"/>
              <w:rPr>
                <w:lang w:val="en-US"/>
              </w:rPr>
            </w:pPr>
            <w:r>
              <w:rPr>
                <w:lang w:val="en-US"/>
              </w:rPr>
              <w:t xml:space="preserve">Introduce necessary requirement(s) for enhanced FR2-1 UEs with simultaneous DL reception with two different QCL TypeD RSs </w:t>
            </w:r>
            <w:r>
              <w:rPr>
                <w:highlight w:val="none"/>
                <w:lang w:val="en-US"/>
              </w:rPr>
              <w:t>on single component carrier</w:t>
            </w:r>
            <w:r>
              <w:rPr>
                <w:lang w:val="en-US"/>
              </w:rPr>
              <w:t xml:space="preserve"> with up to 4 layer DL MIMO</w:t>
            </w:r>
          </w:p>
          <w:p>
            <w:pPr>
              <w:numPr>
                <w:ilvl w:val="1"/>
                <w:numId w:val="4"/>
              </w:numPr>
              <w:spacing w:after="0"/>
              <w:rPr>
                <w:lang w:val="en-US"/>
              </w:rPr>
            </w:pPr>
            <w:r>
              <w:rPr>
                <w:rFonts w:hint="eastAsia"/>
                <w:lang w:val="en-US"/>
              </w:rPr>
              <w:t>Enhanced RF requirements:</w:t>
            </w:r>
          </w:p>
          <w:p>
            <w:pPr>
              <w:numPr>
                <w:ilvl w:val="2"/>
                <w:numId w:val="4"/>
              </w:numPr>
              <w:spacing w:after="0"/>
              <w:rPr>
                <w:lang w:val="en-US"/>
              </w:rPr>
            </w:pPr>
            <w:r>
              <w:rPr>
                <w:lang w:val="en-US"/>
              </w:rPr>
              <w:t>Specify RF requirements, mainly spherical coverage requirements, for devices with simultaneous reception from different directions with different QCL TypeD RSs</w:t>
            </w:r>
            <w:bookmarkStart w:id="0" w:name="_Hlk104922953"/>
          </w:p>
          <w:bookmarkEnd w:id="0"/>
          <w:p>
            <w:pPr>
              <w:numPr>
                <w:ilvl w:val="2"/>
                <w:numId w:val="4"/>
              </w:numPr>
              <w:spacing w:after="0"/>
              <w:rPr>
                <w:lang w:val="en-US"/>
              </w:rPr>
            </w:pPr>
            <w:r>
              <w:rPr>
                <w:lang w:val="en-US"/>
              </w:rPr>
              <w:t>The legacy spherical coverage requirement for reception from a single direction will be kept</w:t>
            </w:r>
          </w:p>
          <w:p>
            <w:pPr>
              <w:numPr>
                <w:ilvl w:val="2"/>
                <w:numId w:val="4"/>
              </w:numPr>
              <w:spacing w:after="0"/>
              <w:rPr>
                <w:lang w:val="en-US"/>
              </w:rPr>
            </w:pPr>
            <w:r>
              <w:rPr>
                <w:highlight w:val="none"/>
                <w:lang w:val="en-US"/>
              </w:rPr>
              <w:t>PC3</w:t>
            </w:r>
            <w:r>
              <w:rPr>
                <w:lang w:val="en-US"/>
              </w:rPr>
              <w:t xml:space="preserve"> will be prioritized, other power classes should be considered after the PC3 requirements framework is finalized</w:t>
            </w:r>
          </w:p>
          <w:p>
            <w:pPr>
              <w:numPr>
                <w:ilvl w:val="0"/>
                <w:numId w:val="4"/>
              </w:numPr>
              <w:spacing w:after="0"/>
              <w:rPr>
                <w:lang w:val="en-US"/>
              </w:rPr>
            </w:pPr>
            <w:r>
              <w:rPr>
                <w:lang w:val="en-US"/>
              </w:rPr>
              <w:t>Introduce necessary requirement(s) for enhanced FR2-1 UEs with simultaneous DL reception from different directions with different QCL TypeD RSs on a single component carrier</w:t>
            </w:r>
            <w:r>
              <w:rPr>
                <w:rFonts w:hint="eastAsia" w:eastAsia="宋体"/>
                <w:lang w:val="en-US" w:eastAsia="zh-CN"/>
              </w:rPr>
              <w:t xml:space="preserve">  </w:t>
            </w:r>
          </w:p>
          <w:p>
            <w:pPr>
              <w:numPr>
                <w:ilvl w:val="1"/>
                <w:numId w:val="4"/>
              </w:numPr>
              <w:spacing w:after="0"/>
              <w:rPr>
                <w:lang w:val="en-US"/>
              </w:rPr>
            </w:pPr>
            <w:r>
              <w:rPr>
                <w:rFonts w:hint="eastAsia"/>
                <w:lang w:val="en-US"/>
              </w:rPr>
              <w:t>Enhanced R</w:t>
            </w:r>
            <w:r>
              <w:rPr>
                <w:lang w:val="en-US"/>
              </w:rPr>
              <w:t>RM</w:t>
            </w:r>
            <w:r>
              <w:rPr>
                <w:rFonts w:hint="eastAsia"/>
                <w:lang w:val="en-US"/>
              </w:rPr>
              <w:t xml:space="preserve"> requirements:</w:t>
            </w:r>
          </w:p>
          <w:p>
            <w:pPr>
              <w:numPr>
                <w:ilvl w:val="2"/>
                <w:numId w:val="4"/>
              </w:numPr>
              <w:spacing w:after="0"/>
              <w:rPr>
                <w:lang w:val="en-US"/>
              </w:rPr>
            </w:pPr>
            <w:r>
              <w:rPr>
                <w:rFonts w:hint="eastAsia"/>
                <w:lang w:val="en-US" w:eastAsia="ja-JP"/>
              </w:rPr>
              <w:t>T</w:t>
            </w:r>
            <w:r>
              <w:rPr>
                <w:lang w:val="en-US" w:eastAsia="ja-JP"/>
              </w:rPr>
              <w:t>he following requirements should be studied and specified if necessary:</w:t>
            </w:r>
          </w:p>
          <w:p>
            <w:pPr>
              <w:numPr>
                <w:ilvl w:val="3"/>
                <w:numId w:val="4"/>
              </w:numPr>
              <w:spacing w:after="0"/>
              <w:rPr>
                <w:lang w:val="en-US"/>
              </w:rPr>
            </w:pPr>
            <w:r>
              <w:rPr>
                <w:lang w:val="en-US"/>
              </w:rPr>
              <w:t>L1-RSRP measurement delay</w:t>
            </w:r>
          </w:p>
          <w:p>
            <w:pPr>
              <w:numPr>
                <w:ilvl w:val="3"/>
                <w:numId w:val="4"/>
              </w:numPr>
              <w:spacing w:after="0"/>
              <w:rPr>
                <w:lang w:val="en-US"/>
              </w:rPr>
            </w:pPr>
            <w:r>
              <w:rPr>
                <w:lang w:val="en-US"/>
              </w:rPr>
              <w:t>L3 measurement delay (both cell detection delay and measurement period can be considered)</w:t>
            </w:r>
          </w:p>
          <w:p>
            <w:pPr>
              <w:numPr>
                <w:ilvl w:val="4"/>
                <w:numId w:val="4"/>
              </w:numPr>
              <w:spacing w:after="0"/>
              <w:rPr>
                <w:lang w:val="en-US"/>
              </w:rPr>
            </w:pPr>
            <w:r>
              <w:rPr>
                <w:lang w:val="en-US"/>
              </w:rPr>
              <w:t>The starting point is the enhancements related to L1-RSRP measurement enhancements</w:t>
            </w:r>
          </w:p>
          <w:p>
            <w:pPr>
              <w:numPr>
                <w:ilvl w:val="3"/>
                <w:numId w:val="4"/>
              </w:numPr>
              <w:spacing w:after="0"/>
              <w:rPr>
                <w:lang w:val="en-US"/>
              </w:rPr>
            </w:pPr>
            <w:r>
              <w:rPr>
                <w:lang w:val="en-US"/>
              </w:rPr>
              <w:t>RLM and BFD/CBD requirements</w:t>
            </w:r>
          </w:p>
          <w:p>
            <w:pPr>
              <w:numPr>
                <w:ilvl w:val="3"/>
                <w:numId w:val="4"/>
              </w:numPr>
              <w:spacing w:after="0"/>
              <w:rPr>
                <w:lang w:val="en-US"/>
              </w:rPr>
            </w:pPr>
            <w:r>
              <w:rPr>
                <w:lang w:val="en-US"/>
              </w:rPr>
              <w:t>Scheduling/measurement restrictions</w:t>
            </w:r>
          </w:p>
          <w:p>
            <w:pPr>
              <w:numPr>
                <w:ilvl w:val="3"/>
                <w:numId w:val="4"/>
              </w:numPr>
              <w:spacing w:after="0"/>
              <w:rPr>
                <w:lang w:val="en-US"/>
              </w:rPr>
            </w:pPr>
            <w:r>
              <w:rPr>
                <w:lang w:val="en-US"/>
              </w:rPr>
              <w:t>TCI state switching delay with dual TCI</w:t>
            </w:r>
          </w:p>
          <w:p>
            <w:pPr>
              <w:numPr>
                <w:ilvl w:val="3"/>
                <w:numId w:val="4"/>
              </w:numPr>
              <w:spacing w:after="0"/>
              <w:rPr>
                <w:bCs/>
              </w:rPr>
            </w:pPr>
            <w:r>
              <w:rPr>
                <w:lang w:val="en-US"/>
              </w:rPr>
              <w:t>Receive timing difference between different directions (different QCL Type D RSs)</w:t>
            </w:r>
          </w:p>
          <w:p>
            <w:pPr>
              <w:spacing w:after="0"/>
              <w:rPr>
                <w:bCs/>
                <w:lang w:eastAsia="ja-JP"/>
              </w:rPr>
            </w:pPr>
            <w:r>
              <w:rPr>
                <w:rFonts w:hint="eastAsia"/>
                <w:bCs/>
                <w:lang w:eastAsia="ja-JP"/>
              </w:rPr>
              <w:t>N</w:t>
            </w:r>
            <w:r>
              <w:rPr>
                <w:bCs/>
                <w:lang w:eastAsia="ja-JP"/>
              </w:rPr>
              <w:t>OTE:</w:t>
            </w:r>
          </w:p>
          <w:p>
            <w:pPr>
              <w:numPr>
                <w:ilvl w:val="0"/>
                <w:numId w:val="5"/>
              </w:numPr>
              <w:spacing w:after="0"/>
              <w:rPr>
                <w:rFonts w:hint="eastAsia" w:eastAsia="宋体"/>
                <w:vertAlign w:val="baseline"/>
                <w:lang w:val="en-US" w:eastAsia="zh-CN"/>
              </w:rPr>
            </w:pPr>
            <w:r>
              <w:rPr>
                <w:rFonts w:hint="eastAsia"/>
                <w:bCs/>
                <w:lang w:eastAsia="ja-JP"/>
              </w:rPr>
              <w:t>T</w:t>
            </w:r>
            <w:r>
              <w:rPr>
                <w:bCs/>
                <w:lang w:eastAsia="ja-JP"/>
              </w:rPr>
              <w:t>he case of single TCI is handled as a second priority. Additional aspects related to single TCI can be further revisited.</w:t>
            </w:r>
          </w:p>
        </w:tc>
      </w:tr>
    </w:tbl>
    <w:p>
      <w:pPr>
        <w:pStyle w:val="8"/>
        <w:tabs>
          <w:tab w:val="left" w:pos="226"/>
          <w:tab w:val="left" w:pos="284"/>
          <w:tab w:val="left" w:pos="5103"/>
        </w:tabs>
        <w:snapToGrid w:val="0"/>
        <w:spacing w:before="156" w:beforeLines="50"/>
        <w:rPr>
          <w:rFonts w:hint="default" w:eastAsia="宋体"/>
          <w:kern w:val="2"/>
          <w:sz w:val="20"/>
          <w:szCs w:val="20"/>
          <w:lang w:val="en-US" w:eastAsia="zh-CN"/>
        </w:rPr>
      </w:pPr>
      <w:r>
        <w:rPr>
          <w:rFonts w:hint="eastAsia" w:eastAsia="宋体"/>
          <w:lang w:val="en-US" w:eastAsia="zh-CN"/>
        </w:rPr>
        <w:t xml:space="preserve">In last RAN4 meeting, RAN4 has spread extensive discussion around simultaneous multi-panel/multi-beam reception and some high-level agreements were achieved in [2]. In this document, we provide our further analysis focus on the L3 related RRM aspects.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Consider for the number of receiving panel, although it is not declared in the specification, actually the FR2 UE requirements are specified orienting toward single-panel UE in Rel-15. </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In Rel-16 and Rel-17, in order to support multi-TRP scenario, some enhancements for receiving beam/panel were achieved:</w:t>
      </w:r>
    </w:p>
    <w:p>
      <w:pPr>
        <w:numPr>
          <w:ilvl w:val="0"/>
          <w:numId w:val="6"/>
        </w:numPr>
        <w:tabs>
          <w:tab w:val="clear" w:pos="420"/>
        </w:tabs>
        <w:ind w:left="840" w:leftChars="0" w:hanging="420" w:firstLineChars="0"/>
        <w:rPr>
          <w:b/>
          <w:i/>
        </w:rPr>
      </w:pPr>
      <w:r>
        <w:rPr>
          <w:rFonts w:hint="eastAsia"/>
          <w:lang w:val="en-US" w:eastAsia="zh-CN"/>
        </w:rPr>
        <w:t>Transmission schemes with simultaneous and non-simultaneous multi-beam reception from multiple TRPs/panels were introduced;</w:t>
      </w:r>
    </w:p>
    <w:p>
      <w:pPr>
        <w:numPr>
          <w:ilvl w:val="0"/>
          <w:numId w:val="6"/>
        </w:numPr>
        <w:tabs>
          <w:tab w:val="clear" w:pos="420"/>
        </w:tabs>
        <w:ind w:left="840" w:leftChars="0" w:hanging="420" w:firstLineChars="0"/>
        <w:rPr>
          <w:b/>
          <w:i/>
        </w:rPr>
      </w:pPr>
      <w:r>
        <w:rPr>
          <w:rFonts w:hint="eastAsia"/>
          <w:lang w:val="en-US" w:eastAsia="zh-CN"/>
        </w:rPr>
        <w:t xml:space="preserve">FR2 UE capability for simultaneous multi-beam reception </w:t>
      </w:r>
      <w:r>
        <w:rPr>
          <w:b/>
          <w:i/>
        </w:rPr>
        <w:t>simultaneousReceptionDiffTypeD-r16</w:t>
      </w:r>
      <w:r>
        <w:rPr>
          <w:rFonts w:hint="eastAsia" w:eastAsia="宋体"/>
          <w:b/>
          <w:i/>
          <w:lang w:val="en-US" w:eastAsia="zh-CN"/>
        </w:rPr>
        <w:t xml:space="preserve"> </w:t>
      </w:r>
      <w:r>
        <w:rPr>
          <w:rFonts w:hint="eastAsia"/>
          <w:lang w:val="en-US" w:eastAsia="zh-CN"/>
        </w:rPr>
        <w:t>was introduced;</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The support of FR2 CA with IBM and CBM with simultaneous DL reception on different component carriers was defined. For the UE capable of IBM, actually such UE has the capability of DL simultaneous reception on different UE panels/RF chains using different beams.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1"/>
          <w:szCs w:val="21"/>
          <w:lang w:val="en-US" w:eastAsia="zh-CN"/>
        </w:rPr>
        <w:t xml:space="preserve">However, no matter Rel-15 or Rel-16/17, not any enhanced RAN4 requirements were defined for FR2 UEs capable of simultaneous multi-panel/beam reception. </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In fact from the perspective of UE capability, simultaneous multi-panel/beam reception has been supported from Rel-16/17, focus on CA scenario. However for this Rel-18 WID, the simultaneous multi-panel/beam reception is oriented to single component carrier scenario.</w:t>
      </w:r>
    </w:p>
    <w:p>
      <w:pPr>
        <w:pStyle w:val="8"/>
        <w:numPr>
          <w:ilvl w:val="0"/>
          <w:numId w:val="0"/>
        </w:numPr>
        <w:rPr>
          <w:rFonts w:hint="default"/>
          <w:lang w:val="en-US" w:eastAsia="zh-CN"/>
        </w:rPr>
      </w:pPr>
      <w:r>
        <w:rPr>
          <w:rFonts w:hint="eastAsia"/>
          <w:lang w:val="en-US" w:eastAsia="zh-CN"/>
        </w:rPr>
        <w:t>For RRM impacts caused by simultaneous DL reception from different directions with different QCL TypeD RSs on a single component carrier, we provide our analysis around L3 part and receiving timing difference as bellow.</w:t>
      </w:r>
    </w:p>
    <w:p>
      <w:pPr>
        <w:pStyle w:val="3"/>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1</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L3</w:t>
      </w:r>
      <w:r>
        <w:rPr>
          <w:rFonts w:hint="eastAsia" w:ascii="Helvetica" w:hAnsi="Helvetica" w:eastAsia="宋体" w:cs="Times New Roman"/>
          <w:b/>
          <w:bCs/>
          <w:iCs w:val="0"/>
          <w:color w:val="auto"/>
          <w:kern w:val="32"/>
          <w:sz w:val="28"/>
          <w:szCs w:val="32"/>
          <w:lang w:val="en-US" w:eastAsia="zh-CN" w:bidi="ar-SA"/>
        </w:rPr>
        <w:t xml:space="preserve"> measurement delay</w:t>
      </w:r>
    </w:p>
    <w:p>
      <w:pPr>
        <w:pStyle w:val="8"/>
        <w:numPr>
          <w:ilvl w:val="0"/>
          <w:numId w:val="0"/>
        </w:numPr>
        <w:tabs>
          <w:tab w:val="left" w:pos="226"/>
          <w:tab w:val="left" w:pos="284"/>
          <w:tab w:val="left" w:pos="5103"/>
        </w:tabs>
        <w:snapToGrid w:val="0"/>
        <w:spacing w:before="156" w:beforeLines="50"/>
        <w:rPr>
          <w:rFonts w:hint="default" w:eastAsia="宋体"/>
          <w:lang w:val="en-US" w:eastAsia="zh-CN"/>
        </w:rPr>
      </w:pPr>
      <w:r>
        <w:rPr>
          <w:rFonts w:hint="eastAsia" w:eastAsia="宋体"/>
          <w:lang w:val="en-US" w:eastAsia="zh-CN"/>
        </w:rPr>
        <w:t>1) The impact on L1 measurement</w:t>
      </w:r>
    </w:p>
    <w:p>
      <w:pPr>
        <w:pStyle w:val="8"/>
        <w:numPr>
          <w:ilvl w:val="0"/>
          <w:numId w:val="0"/>
        </w:numPr>
        <w:tabs>
          <w:tab w:val="left" w:pos="226"/>
          <w:tab w:val="left" w:pos="284"/>
          <w:tab w:val="left" w:pos="5103"/>
        </w:tabs>
        <w:snapToGrid w:val="0"/>
        <w:spacing w:before="156" w:beforeLines="50"/>
        <w:rPr>
          <w:rFonts w:hint="eastAsia" w:eastAsia="宋体"/>
          <w:lang w:val="en-US" w:eastAsia="zh-CN"/>
        </w:rPr>
      </w:pPr>
      <w:r>
        <w:rPr>
          <w:rFonts w:hint="eastAsia" w:eastAsia="宋体"/>
          <w:lang w:val="en-US" w:eastAsia="zh-CN"/>
        </w:rPr>
        <w:t xml:space="preserve">It should be noted that compared with L1 measurement, L3 measurement is deprioritized, which was clarified in the WID. So maybe the enhancement should focus on L3 measurement that could be impacted by L1-RSRP measurement. For example, L3 measurement could be performed simultaneously with L1-RSRP measurement for UE supporting multi-panel reception. Then the measurement period for L1-RSRP measurement, including inter-cell L1-RSRP measurement requirements, can be reduced accordingly. Such enhancement can be reflected into the scaling factor P in the measurement period of L1-RSRP measurement and </w:t>
      </w:r>
      <w:r>
        <w:rPr>
          <w:lang w:val="en-US"/>
        </w:rPr>
        <w:t>K</w:t>
      </w:r>
      <w:r>
        <w:rPr>
          <w:vertAlign w:val="subscript"/>
          <w:lang w:val="en-US"/>
        </w:rPr>
        <w:t>layer1_measurement</w:t>
      </w:r>
      <w:r>
        <w:rPr>
          <w:rFonts w:hint="eastAsia" w:eastAsia="宋体"/>
          <w:lang w:val="en-US" w:eastAsia="zh-CN"/>
        </w:rPr>
        <w:t xml:space="preserve"> in the measurement period of L3 measurement.</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UE capable of multi-panel reception can perform L1-RSRP measurement and L3 measurement simultaneously through two panels respectively.</w:t>
      </w:r>
    </w:p>
    <w:p>
      <w:pPr>
        <w:pStyle w:val="8"/>
        <w:numPr>
          <w:ilvl w:val="0"/>
          <w:numId w:val="7"/>
        </w:numPr>
        <w:tabs>
          <w:tab w:val="left" w:pos="226"/>
          <w:tab w:val="left" w:pos="284"/>
          <w:tab w:val="left" w:pos="5103"/>
        </w:tabs>
        <w:snapToGrid w:val="0"/>
        <w:spacing w:before="156" w:beforeLines="50"/>
        <w:rPr>
          <w:rFonts w:hint="default" w:eastAsia="宋体"/>
          <w:lang w:val="en-US" w:eastAsia="zh-CN"/>
        </w:rPr>
      </w:pPr>
      <w:r>
        <w:rPr>
          <w:rFonts w:hint="eastAsia" w:eastAsia="宋体"/>
          <w:lang w:val="en-US" w:eastAsia="zh-CN"/>
        </w:rPr>
        <w:t>The enhancement of L3 measurement itself</w:t>
      </w:r>
    </w:p>
    <w:p>
      <w:pPr>
        <w:pStyle w:val="8"/>
        <w:numPr>
          <w:ilvl w:val="0"/>
          <w:numId w:val="0"/>
        </w:numPr>
        <w:tabs>
          <w:tab w:val="left" w:pos="226"/>
          <w:tab w:val="left" w:pos="284"/>
          <w:tab w:val="left" w:pos="5103"/>
        </w:tabs>
        <w:snapToGrid w:val="0"/>
        <w:spacing w:before="156" w:beforeLines="50"/>
        <w:rPr>
          <w:rFonts w:hint="eastAsia" w:eastAsia="宋体"/>
          <w:lang w:val="en-US" w:eastAsia="zh-CN"/>
        </w:rPr>
      </w:pPr>
      <w:r>
        <w:rPr>
          <w:rFonts w:hint="eastAsia" w:eastAsia="宋体"/>
          <w:lang w:val="en-US" w:eastAsia="zh-CN"/>
        </w:rPr>
        <w:t xml:space="preserve">Referring to L3 measurement itself, whether it can be enhanced by multi-panel Rx, after the discussion during last meeting, this issue is still suspending since the views from companies are diverse. In our opinion, even L3 measurement is deprioritized, the enhancement for L3 measurement can share the same logic as the enhancement for L1 measurement, and would not lead to much additional workload. So enhancement on scaling factor of beam sweeping and scheduling restriction should be considered. In detail, the scaling factor of beam sweeping for L3 measurement can be reduced similar as above analysis for L1 measurement. The scheduling restriction on the same single carrier in which multi-panel reception is supported can be relaxed. </w:t>
      </w:r>
    </w:p>
    <w:p>
      <w:pPr>
        <w:pStyle w:val="8"/>
        <w:numPr>
          <w:ilvl w:val="0"/>
          <w:numId w:val="0"/>
        </w:numPr>
        <w:tabs>
          <w:tab w:val="left" w:pos="226"/>
          <w:tab w:val="left" w:pos="284"/>
          <w:tab w:val="left" w:pos="5103"/>
        </w:tabs>
        <w:snapToGrid w:val="0"/>
        <w:spacing w:before="156" w:beforeLines="50"/>
        <w:rPr>
          <w:rFonts w:hint="default" w:eastAsia="宋体"/>
          <w:lang w:val="en-US" w:eastAsia="zh-CN"/>
        </w:rPr>
      </w:pPr>
      <w:r>
        <w:rPr>
          <w:rFonts w:hint="eastAsia" w:eastAsia="宋体"/>
          <w:lang w:val="en-US" w:eastAsia="zh-CN"/>
        </w:rPr>
        <w:t>Further consider the requirements under IDLE or INACTIVE mode, the scaling factor of beam sweeping N1 can also be reduced if L3 measurement enhancement is considered since of multi-panel Rx.</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Referring to whether L3 measurement can be enhanced by multi-panel reception, we believe same logic as the enhancement for L1 measurement can be referenced and would not lead to much additional workload. </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If L3 measurement enhancement is considered, the scaling factor of beam sweeping and scheduling restriction can be relaxed. Considering IDLE and INACTIVE mode, the scaling factor of beam sweeping can also be reduced.</w:t>
      </w:r>
    </w:p>
    <w:p>
      <w:pPr>
        <w:pStyle w:val="3"/>
        <w:bidi w:val="0"/>
        <w:rPr>
          <w:rFonts w:hint="eastAsi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Receiving timing difference between different directions</w:t>
      </w:r>
    </w:p>
    <w:p>
      <w:pPr>
        <w:pStyle w:val="8"/>
        <w:numPr>
          <w:ilvl w:val="0"/>
          <w:numId w:val="0"/>
        </w:numPr>
        <w:rPr>
          <w:rFonts w:hint="default"/>
          <w:lang w:val="en-US" w:eastAsia="zh-CN"/>
        </w:rPr>
      </w:pPr>
      <w:r>
        <w:rPr>
          <w:rFonts w:hint="eastAsia"/>
          <w:lang w:val="en-US" w:eastAsia="zh-CN"/>
        </w:rPr>
        <w:t xml:space="preserve">Similar as the requirement of MRTD, when simultaneous reception from different panel/beam. The requirement of receiving timing difference between different directions should be provided. If only considering the requirement itself, the requirements of MRTD for non-co-located CA, i.e. inter-band CA can be re-used. According to the following requirements specified in TS38.133, 8 µs is assumed for FR2-1. </w:t>
      </w:r>
    </w:p>
    <w:p>
      <w:pPr>
        <w:pStyle w:val="35"/>
        <w:rPr>
          <w:rFonts w:eastAsia="Malgun Gothic"/>
          <w:lang w:eastAsia="ko-KR"/>
        </w:rPr>
      </w:pPr>
      <w:r>
        <w:t>Table 7.6.</w:t>
      </w:r>
      <w:r>
        <w:rPr>
          <w:rFonts w:eastAsia="Malgun Gothic"/>
        </w:rPr>
        <w:t>4</w:t>
      </w:r>
      <w:r>
        <w:t>-2</w:t>
      </w:r>
      <w:r>
        <w:rPr>
          <w:lang w:eastAsia="ko-KR"/>
        </w:rPr>
        <w:t>:</w:t>
      </w:r>
      <w:r>
        <w:t xml:space="preserve"> Maximum receive timing difference requirement for inter-band NR carrier aggregation</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1"/>
        <w:gridCol w:w="3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32"/>
            </w:pPr>
            <w:r>
              <w:t>Frequency Range of the pair of carriers</w:t>
            </w:r>
          </w:p>
        </w:tc>
        <w:tc>
          <w:tcPr>
            <w:tcW w:w="3003" w:type="dxa"/>
            <w:shd w:val="clear" w:color="auto" w:fill="auto"/>
          </w:tcPr>
          <w:p>
            <w:pPr>
              <w:pStyle w:val="32"/>
            </w:pPr>
            <w:r>
              <w:t xml:space="preserve">Maximum receive timing difference (µs)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33"/>
            </w:pPr>
            <w:r>
              <w:t>FR1</w:t>
            </w:r>
          </w:p>
        </w:tc>
        <w:tc>
          <w:tcPr>
            <w:tcW w:w="3003" w:type="dxa"/>
            <w:shd w:val="clear" w:color="auto" w:fill="auto"/>
          </w:tcPr>
          <w:p>
            <w:pPr>
              <w:pStyle w:val="33"/>
            </w:pPr>
            <w: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33"/>
            </w:pPr>
            <w:r>
              <w:rPr>
                <w:rFonts w:eastAsiaTheme="minorEastAsia"/>
              </w:rPr>
              <w:t>FR2-1</w:t>
            </w:r>
          </w:p>
        </w:tc>
        <w:tc>
          <w:tcPr>
            <w:tcW w:w="3003" w:type="dxa"/>
            <w:shd w:val="clear" w:color="auto" w:fill="auto"/>
          </w:tcPr>
          <w:p>
            <w:pPr>
              <w:pStyle w:val="33"/>
            </w:pPr>
            <w:r>
              <w:rPr>
                <w:rFonts w:eastAsiaTheme="minorEastAsia"/>
              </w:rPr>
              <w:t>8</w:t>
            </w:r>
            <w:r>
              <w:rPr>
                <w:rFonts w:eastAsiaTheme="minorEastAsia"/>
                <w:vertAlign w:val="superscript"/>
              </w:rPr>
              <w:t xml:space="preserve">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33"/>
            </w:pPr>
            <w:r>
              <w:rPr>
                <w:rFonts w:eastAsiaTheme="minorEastAsia"/>
              </w:rPr>
              <w:t>Between FR1 and FR2-1</w:t>
            </w:r>
          </w:p>
        </w:tc>
        <w:tc>
          <w:tcPr>
            <w:tcW w:w="3003" w:type="dxa"/>
            <w:shd w:val="clear" w:color="auto" w:fill="auto"/>
          </w:tcPr>
          <w:p>
            <w:pPr>
              <w:pStyle w:val="33"/>
            </w:pPr>
            <w:r>
              <w:rPr>
                <w:rFonts w:eastAsiaTheme="minorEastAsia"/>
                <w:lang w:eastAsia="zh-CN"/>
              </w:rPr>
              <w:t xml:space="preserve">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33"/>
            </w:pPr>
            <w:r>
              <w:rPr>
                <w:rFonts w:eastAsiaTheme="minorEastAsia"/>
              </w:rPr>
              <w:t>Between FR1 and FR2-2</w:t>
            </w:r>
          </w:p>
        </w:tc>
        <w:tc>
          <w:tcPr>
            <w:tcW w:w="3003" w:type="dxa"/>
            <w:shd w:val="clear" w:color="auto" w:fill="auto"/>
          </w:tcPr>
          <w:p>
            <w:pPr>
              <w:pStyle w:val="33"/>
              <w:rPr>
                <w:lang w:eastAsia="zh-CN"/>
              </w:rPr>
            </w:pPr>
            <w:r>
              <w:rPr>
                <w:rFonts w:eastAsiaTheme="minorEastAsia"/>
                <w:lang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4" w:type="dxa"/>
            <w:gridSpan w:val="2"/>
            <w:shd w:val="clear" w:color="auto" w:fill="auto"/>
          </w:tcPr>
          <w:p>
            <w:pPr>
              <w:pStyle w:val="51"/>
              <w:rPr>
                <w:lang w:eastAsia="zh-CN"/>
              </w:rPr>
            </w:pPr>
            <w:r>
              <w:rPr>
                <w:rFonts w:eastAsiaTheme="minorEastAsia"/>
                <w:lang w:eastAsia="zh-CN"/>
              </w:rPr>
              <w:t>Note1:</w:t>
            </w:r>
            <w:r>
              <w:rPr>
                <w:rFonts w:eastAsiaTheme="minorEastAsia"/>
              </w:rPr>
              <w:tab/>
            </w:r>
            <w:r>
              <w:rPr>
                <w:rFonts w:eastAsia="Yu Mincho"/>
                <w:lang w:eastAsia="ja-JP"/>
              </w:rPr>
              <w:t xml:space="preserve">This requirement </w:t>
            </w:r>
            <w:r>
              <w:rPr>
                <w:rFonts w:eastAsiaTheme="minorEastAsia"/>
              </w:rPr>
              <w:t>applies to the UE capable of independent beam management for FR2-1 inter-band CA</w:t>
            </w:r>
            <w:r>
              <w:rPr>
                <w:rFonts w:eastAsiaTheme="minorEastAsia"/>
                <w:lang w:eastAsia="zh-CN"/>
              </w:rPr>
              <w:t>.</w:t>
            </w:r>
          </w:p>
        </w:tc>
      </w:tr>
    </w:tbl>
    <w:p>
      <w:pPr>
        <w:pStyle w:val="8"/>
        <w:numPr>
          <w:ilvl w:val="0"/>
          <w:numId w:val="0"/>
        </w:numPr>
        <w:rPr>
          <w:rFonts w:hint="eastAsia"/>
          <w:lang w:val="en-US" w:eastAsia="zh-CN"/>
        </w:rPr>
      </w:pPr>
    </w:p>
    <w:p>
      <w:pPr>
        <w:pStyle w:val="8"/>
        <w:numPr>
          <w:ilvl w:val="0"/>
          <w:numId w:val="0"/>
        </w:numPr>
        <w:rPr>
          <w:rFonts w:hint="eastAsia"/>
          <w:lang w:val="en-US" w:eastAsia="zh-CN"/>
        </w:rPr>
      </w:pPr>
      <w:r>
        <w:rPr>
          <w:rFonts w:hint="eastAsia"/>
          <w:lang w:val="en-US" w:eastAsia="zh-CN"/>
        </w:rPr>
        <w:t>Further more, it should be noted that for FR2, the receiving timing difference between different TRPs should be not longer than CP length based on the assumption in RAN1 and RAN4 in Rel-17 so that single FFT can be used. If RAN4 does not intend to enhance this, we believe the receive timing difference between different directions should not larger than CP length. For 120kHz SCS, CP length is about 0.59 µs. for 240 kHz SCS, CP length is about 0.29 µs. 8 µs is much larger than both length of CP for 120kHz and 240kHz.</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If keep the assumption of single FFT as in Rel-17, the receive timing difference between different directions should be not larger the CP length. But the legacy MRTD under inter-band CA is much larger than CP length for FR2-1, which is beyond UE capability.</w:t>
      </w:r>
    </w:p>
    <w:p>
      <w:pPr>
        <w:pStyle w:val="8"/>
        <w:numPr>
          <w:ilvl w:val="0"/>
          <w:numId w:val="0"/>
        </w:numPr>
        <w:rPr>
          <w:rFonts w:hint="eastAsia"/>
          <w:lang w:val="en-US" w:eastAsia="zh-CN"/>
        </w:rPr>
      </w:pPr>
      <w:r>
        <w:rPr>
          <w:rFonts w:hint="eastAsia"/>
          <w:lang w:val="en-US" w:eastAsia="zh-CN"/>
        </w:rPr>
        <w:t>If UE is capable of supporting two FFTs for different TRP or panel/RF chain reception, the restriction of not larger the CP length can be ignored, so re-using the legacy requirement for inter-band CA is fine.</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If UE is capable of supporting two FFTs for different TRP or panel/RF chain reception, the restriction of not larger the CP length can be ignored, so re-using the legacy requirement for inter-band CA is fine.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RRM core requirements for simultaneous DL reception from different directions</w:t>
      </w:r>
      <w:r>
        <w:rPr>
          <w:rFonts w:eastAsia="宋体"/>
          <w:bCs/>
          <w:color w:val="auto"/>
          <w:sz w:val="20"/>
          <w:szCs w:val="20"/>
          <w:lang w:val="en-GB" w:eastAsia="zh-CN"/>
        </w:rPr>
        <w:t>:</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In fact from the perspective of UE capability, simultaneous multi-panel/beam reception has been supported from Rel-16/17, focus on CA scenario. However for this Rel-18 WID, the simultaneous multi-panel/beam reception is oriented to single component carrier scenario.</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UE capable of multi-panel reception can perform L1-RSRP measurement and L3 measurement through two panels respectively.</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Referring to whether L3 measurement can be enhanced by multi-panel reception, we believe same logic as the enhancement for L1 measurement can be referenced and would not lead to much additional workload. </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If L3 measurement enhancement is considered, the scaling factor of beam sweeping and scheduling restriction can be relaxed. Considering IDLE and INACTIVE mode, the scaling factor of beam sweeping can also be reduced.</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If keep the assumption of single FFT as in Rel-17, the receive timing difference between different directions should be not larger the CP length. But the legacy MRTD under inter-band CA is much larger than CP length for FR2-1, which is beyond UE capability.</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If UE is capable of supporting two FFTs for different TRP or panel/RF chain reception, the restriction of not larger the CP length can be ignored, so re-using the legacy requirement for inter-band CA is fine.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8"/>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1753</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8"/>
        </w:numPr>
        <w:ind w:leftChars="0"/>
        <w:rPr>
          <w:rFonts w:hint="default"/>
          <w:color w:val="auto"/>
          <w:highlight w:val="none"/>
          <w:lang w:val="en-US" w:eastAsia="zh-CN"/>
        </w:rPr>
      </w:pPr>
      <w:r>
        <w:rPr>
          <w:rFonts w:hint="eastAsia"/>
          <w:color w:val="auto"/>
          <w:highlight w:val="none"/>
          <w:lang w:val="en-US" w:eastAsia="zh-CN"/>
        </w:rPr>
        <w:t xml:space="preserve">R4-2214344 </w:t>
      </w:r>
      <w:r>
        <w:rPr>
          <w:rFonts w:hint="default"/>
          <w:color w:val="auto"/>
          <w:highlight w:val="none"/>
          <w:lang w:val="en-US" w:eastAsia="zh-CN"/>
        </w:rPr>
        <w:t>“WF on FR2 multi-Rx RRM”</w:t>
      </w:r>
      <w:r>
        <w:rPr>
          <w:rFonts w:hint="eastAsia"/>
          <w:color w:val="auto"/>
          <w:highlight w:val="none"/>
          <w:lang w:val="en-US" w:eastAsia="zh-CN"/>
        </w:rPr>
        <w:t>, vivo.</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CEAB0FA9"/>
    <w:multiLevelType w:val="singleLevel"/>
    <w:tmpl w:val="CEAB0FA9"/>
    <w:lvl w:ilvl="0" w:tentative="0">
      <w:start w:val="2"/>
      <w:numFmt w:val="decimal"/>
      <w:suff w:val="space"/>
      <w:lvlText w:val="%1)"/>
      <w:lvlJc w:val="left"/>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7C32FD6"/>
    <w:multiLevelType w:val="multilevel"/>
    <w:tmpl w:val="27C32FD6"/>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4">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5">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F53B69B"/>
    <w:multiLevelType w:val="singleLevel"/>
    <w:tmpl w:val="4F53B69B"/>
    <w:lvl w:ilvl="0" w:tentative="0">
      <w:start w:val="1"/>
      <w:numFmt w:val="bullet"/>
      <w:lvlText w:val=""/>
      <w:lvlJc w:val="left"/>
      <w:pPr>
        <w:tabs>
          <w:tab w:val="left" w:pos="420"/>
        </w:tabs>
        <w:ind w:left="840" w:hanging="420"/>
      </w:pPr>
      <w:rPr>
        <w:rFonts w:hint="default" w:ascii="Wingdings" w:hAnsi="Wingdings"/>
      </w:r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5"/>
  </w:num>
  <w:num w:numId="3">
    <w:abstractNumId w:val="2"/>
  </w:num>
  <w:num w:numId="4">
    <w:abstractNumId w:val="4"/>
  </w:num>
  <w:num w:numId="5">
    <w:abstractNumId w:val="3"/>
  </w:num>
  <w:num w:numId="6">
    <w:abstractNumId w:val="6"/>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122247"/>
    <w:rsid w:val="022C3A09"/>
    <w:rsid w:val="028B6A1D"/>
    <w:rsid w:val="028F1C3E"/>
    <w:rsid w:val="037D0CB3"/>
    <w:rsid w:val="03D4720A"/>
    <w:rsid w:val="03E04DEA"/>
    <w:rsid w:val="04654053"/>
    <w:rsid w:val="04793516"/>
    <w:rsid w:val="047A3CFF"/>
    <w:rsid w:val="04885243"/>
    <w:rsid w:val="05317828"/>
    <w:rsid w:val="05477E90"/>
    <w:rsid w:val="05BB5AB9"/>
    <w:rsid w:val="05C42923"/>
    <w:rsid w:val="05F562DB"/>
    <w:rsid w:val="06963BA6"/>
    <w:rsid w:val="06965F3C"/>
    <w:rsid w:val="07CD3CDD"/>
    <w:rsid w:val="07E5158B"/>
    <w:rsid w:val="084B363C"/>
    <w:rsid w:val="0855671D"/>
    <w:rsid w:val="089009EB"/>
    <w:rsid w:val="09716BCA"/>
    <w:rsid w:val="098C1CEA"/>
    <w:rsid w:val="09D64B23"/>
    <w:rsid w:val="09E644B8"/>
    <w:rsid w:val="0B12013A"/>
    <w:rsid w:val="0B1C5C6A"/>
    <w:rsid w:val="0B243EFB"/>
    <w:rsid w:val="0B3D3C2F"/>
    <w:rsid w:val="0B5D15B4"/>
    <w:rsid w:val="0BAC06FA"/>
    <w:rsid w:val="0BB0429A"/>
    <w:rsid w:val="0BFF5FC6"/>
    <w:rsid w:val="0C276675"/>
    <w:rsid w:val="0C394019"/>
    <w:rsid w:val="0EC91588"/>
    <w:rsid w:val="0F8009F9"/>
    <w:rsid w:val="10997F43"/>
    <w:rsid w:val="10DE7BAE"/>
    <w:rsid w:val="11023BFD"/>
    <w:rsid w:val="110404BB"/>
    <w:rsid w:val="111C20F6"/>
    <w:rsid w:val="11ED345F"/>
    <w:rsid w:val="120774A3"/>
    <w:rsid w:val="12580C13"/>
    <w:rsid w:val="13DE466A"/>
    <w:rsid w:val="14006D19"/>
    <w:rsid w:val="1414436B"/>
    <w:rsid w:val="1481754F"/>
    <w:rsid w:val="148F5721"/>
    <w:rsid w:val="14AC57CD"/>
    <w:rsid w:val="15ED3E9B"/>
    <w:rsid w:val="164514BE"/>
    <w:rsid w:val="170F06AA"/>
    <w:rsid w:val="17225508"/>
    <w:rsid w:val="180A6E32"/>
    <w:rsid w:val="183F2CD2"/>
    <w:rsid w:val="1856323E"/>
    <w:rsid w:val="18AF55E3"/>
    <w:rsid w:val="18B1519A"/>
    <w:rsid w:val="18CD0507"/>
    <w:rsid w:val="195D7D48"/>
    <w:rsid w:val="19852D03"/>
    <w:rsid w:val="1A6F1A83"/>
    <w:rsid w:val="1AD01A1B"/>
    <w:rsid w:val="1B61065A"/>
    <w:rsid w:val="1BBF3927"/>
    <w:rsid w:val="1C177B08"/>
    <w:rsid w:val="1C9001C6"/>
    <w:rsid w:val="1CBA2101"/>
    <w:rsid w:val="1D0573D7"/>
    <w:rsid w:val="1D153DC4"/>
    <w:rsid w:val="1D223E0B"/>
    <w:rsid w:val="1D3A54CD"/>
    <w:rsid w:val="1DF33EB1"/>
    <w:rsid w:val="1E132F88"/>
    <w:rsid w:val="1E2867E9"/>
    <w:rsid w:val="1E853F6F"/>
    <w:rsid w:val="1E9C7BCC"/>
    <w:rsid w:val="1ECC1E3C"/>
    <w:rsid w:val="1FFD4083"/>
    <w:rsid w:val="202F3D4C"/>
    <w:rsid w:val="21014C39"/>
    <w:rsid w:val="21045DF0"/>
    <w:rsid w:val="21244EB1"/>
    <w:rsid w:val="213964D8"/>
    <w:rsid w:val="21595D04"/>
    <w:rsid w:val="21835807"/>
    <w:rsid w:val="21F13629"/>
    <w:rsid w:val="2305377E"/>
    <w:rsid w:val="231A76D5"/>
    <w:rsid w:val="24122135"/>
    <w:rsid w:val="24D4257E"/>
    <w:rsid w:val="24F5519F"/>
    <w:rsid w:val="2572202B"/>
    <w:rsid w:val="2605683C"/>
    <w:rsid w:val="26661176"/>
    <w:rsid w:val="26BB1419"/>
    <w:rsid w:val="27315D1D"/>
    <w:rsid w:val="27B748AA"/>
    <w:rsid w:val="27CB4CB9"/>
    <w:rsid w:val="281C2F58"/>
    <w:rsid w:val="292D5BF2"/>
    <w:rsid w:val="292F6239"/>
    <w:rsid w:val="29642C4B"/>
    <w:rsid w:val="29A66B9A"/>
    <w:rsid w:val="2A34628C"/>
    <w:rsid w:val="2A724D05"/>
    <w:rsid w:val="2A7E505C"/>
    <w:rsid w:val="2AC85686"/>
    <w:rsid w:val="2AD04B5F"/>
    <w:rsid w:val="2B39549B"/>
    <w:rsid w:val="2BC05B2C"/>
    <w:rsid w:val="2BD617C5"/>
    <w:rsid w:val="2C112837"/>
    <w:rsid w:val="2C360608"/>
    <w:rsid w:val="2E014790"/>
    <w:rsid w:val="2EE77680"/>
    <w:rsid w:val="2F2F0FC8"/>
    <w:rsid w:val="301C6BB6"/>
    <w:rsid w:val="30723652"/>
    <w:rsid w:val="30766FB2"/>
    <w:rsid w:val="319708F2"/>
    <w:rsid w:val="31B14C9E"/>
    <w:rsid w:val="31FE2981"/>
    <w:rsid w:val="33C522D7"/>
    <w:rsid w:val="33F228A5"/>
    <w:rsid w:val="34807672"/>
    <w:rsid w:val="351B1E30"/>
    <w:rsid w:val="358E5935"/>
    <w:rsid w:val="35B06C6A"/>
    <w:rsid w:val="36941AA2"/>
    <w:rsid w:val="36D37423"/>
    <w:rsid w:val="379D23F9"/>
    <w:rsid w:val="37E74183"/>
    <w:rsid w:val="3A185287"/>
    <w:rsid w:val="3A1F46B8"/>
    <w:rsid w:val="3A692CD0"/>
    <w:rsid w:val="3B270929"/>
    <w:rsid w:val="3B3D5571"/>
    <w:rsid w:val="3B5D276F"/>
    <w:rsid w:val="3B673620"/>
    <w:rsid w:val="3B9A1F29"/>
    <w:rsid w:val="3CE4646B"/>
    <w:rsid w:val="3D5E7AA8"/>
    <w:rsid w:val="3D6F2596"/>
    <w:rsid w:val="3EFF5602"/>
    <w:rsid w:val="3FB84F8D"/>
    <w:rsid w:val="405F175E"/>
    <w:rsid w:val="40C765F3"/>
    <w:rsid w:val="41C755BE"/>
    <w:rsid w:val="42F869D2"/>
    <w:rsid w:val="43553536"/>
    <w:rsid w:val="44972678"/>
    <w:rsid w:val="451632B9"/>
    <w:rsid w:val="45906394"/>
    <w:rsid w:val="45F60A50"/>
    <w:rsid w:val="46142D0C"/>
    <w:rsid w:val="46970A81"/>
    <w:rsid w:val="46B036BF"/>
    <w:rsid w:val="47282363"/>
    <w:rsid w:val="476B3528"/>
    <w:rsid w:val="47C726B0"/>
    <w:rsid w:val="49DC4EAC"/>
    <w:rsid w:val="49E55BC5"/>
    <w:rsid w:val="4A884A44"/>
    <w:rsid w:val="4C1C63D6"/>
    <w:rsid w:val="4C864A35"/>
    <w:rsid w:val="4E015C76"/>
    <w:rsid w:val="4E310026"/>
    <w:rsid w:val="4E4A2325"/>
    <w:rsid w:val="4E702749"/>
    <w:rsid w:val="4EC85323"/>
    <w:rsid w:val="4EDB3464"/>
    <w:rsid w:val="501A6C55"/>
    <w:rsid w:val="51234069"/>
    <w:rsid w:val="51B14BED"/>
    <w:rsid w:val="52526454"/>
    <w:rsid w:val="525C1CEF"/>
    <w:rsid w:val="528B5767"/>
    <w:rsid w:val="52A77D4F"/>
    <w:rsid w:val="52D33625"/>
    <w:rsid w:val="52FD1C01"/>
    <w:rsid w:val="52FD33B4"/>
    <w:rsid w:val="5372021A"/>
    <w:rsid w:val="53A3105E"/>
    <w:rsid w:val="53C64B93"/>
    <w:rsid w:val="548A6C60"/>
    <w:rsid w:val="54E07F19"/>
    <w:rsid w:val="55B1164D"/>
    <w:rsid w:val="55B4735E"/>
    <w:rsid w:val="55BB221D"/>
    <w:rsid w:val="56371459"/>
    <w:rsid w:val="56484633"/>
    <w:rsid w:val="58D0053D"/>
    <w:rsid w:val="59064002"/>
    <w:rsid w:val="598C40A0"/>
    <w:rsid w:val="59DA647E"/>
    <w:rsid w:val="5A556E1A"/>
    <w:rsid w:val="5C1166E3"/>
    <w:rsid w:val="5E2864D0"/>
    <w:rsid w:val="5E494511"/>
    <w:rsid w:val="5EB44FC0"/>
    <w:rsid w:val="5EB81F13"/>
    <w:rsid w:val="5EDA64BC"/>
    <w:rsid w:val="5FBA395F"/>
    <w:rsid w:val="60B92183"/>
    <w:rsid w:val="60EC2CBA"/>
    <w:rsid w:val="61CC2D28"/>
    <w:rsid w:val="630C63B9"/>
    <w:rsid w:val="635902CD"/>
    <w:rsid w:val="642A3E76"/>
    <w:rsid w:val="645E1DDB"/>
    <w:rsid w:val="64706BBE"/>
    <w:rsid w:val="64F2095B"/>
    <w:rsid w:val="65267327"/>
    <w:rsid w:val="65D63F94"/>
    <w:rsid w:val="67A858DB"/>
    <w:rsid w:val="67FE4166"/>
    <w:rsid w:val="68AD2162"/>
    <w:rsid w:val="68C401C3"/>
    <w:rsid w:val="69045D7F"/>
    <w:rsid w:val="693027BF"/>
    <w:rsid w:val="6968769B"/>
    <w:rsid w:val="69831B57"/>
    <w:rsid w:val="69A833BD"/>
    <w:rsid w:val="6A5D78D5"/>
    <w:rsid w:val="6A85354A"/>
    <w:rsid w:val="6C8E0C06"/>
    <w:rsid w:val="6D566F0F"/>
    <w:rsid w:val="6D836F72"/>
    <w:rsid w:val="6DDE3DAF"/>
    <w:rsid w:val="6E2C7D5B"/>
    <w:rsid w:val="6E3241BE"/>
    <w:rsid w:val="6EB97A9D"/>
    <w:rsid w:val="6EF10A90"/>
    <w:rsid w:val="6FD45BF8"/>
    <w:rsid w:val="6FFF1868"/>
    <w:rsid w:val="71507435"/>
    <w:rsid w:val="715F4C2D"/>
    <w:rsid w:val="722F78FB"/>
    <w:rsid w:val="723D67C5"/>
    <w:rsid w:val="7250627B"/>
    <w:rsid w:val="72BF60CA"/>
    <w:rsid w:val="72F41282"/>
    <w:rsid w:val="733D0D32"/>
    <w:rsid w:val="73D411F1"/>
    <w:rsid w:val="753811DE"/>
    <w:rsid w:val="757733D9"/>
    <w:rsid w:val="75A7114C"/>
    <w:rsid w:val="75BE67D4"/>
    <w:rsid w:val="75C2004C"/>
    <w:rsid w:val="75C759C1"/>
    <w:rsid w:val="760F5DAE"/>
    <w:rsid w:val="762D64F3"/>
    <w:rsid w:val="767E7EFF"/>
    <w:rsid w:val="775B4604"/>
    <w:rsid w:val="77C067C3"/>
    <w:rsid w:val="78911E31"/>
    <w:rsid w:val="7922350F"/>
    <w:rsid w:val="792B5470"/>
    <w:rsid w:val="79C637D8"/>
    <w:rsid w:val="7A9367CB"/>
    <w:rsid w:val="7AF22571"/>
    <w:rsid w:val="7B69224B"/>
    <w:rsid w:val="7BE80F25"/>
    <w:rsid w:val="7C1C35A7"/>
    <w:rsid w:val="7C45431D"/>
    <w:rsid w:val="7D243E1C"/>
    <w:rsid w:val="7D3219D5"/>
    <w:rsid w:val="7DDD0501"/>
    <w:rsid w:val="7DE51372"/>
    <w:rsid w:val="7E5E590F"/>
    <w:rsid w:val="7E935AFB"/>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42</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2022-09-30T14:05:59Z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